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856073">
      <w:pPr>
        <w:keepNext w:val="0"/>
        <w:keepLines w:val="0"/>
        <w:pageBreakBefore w:val="0"/>
        <w:widowControl w:val="0"/>
        <w:kinsoku/>
        <w:wordWrap/>
        <w:overflowPunct/>
        <w:topLinePunct w:val="0"/>
        <w:autoSpaceDE/>
        <w:autoSpaceDN/>
        <w:bidi w:val="0"/>
        <w:adjustRightInd/>
        <w:snapToGrid w:val="0"/>
        <w:spacing w:line="578" w:lineRule="exact"/>
        <w:textAlignment w:val="auto"/>
        <w:rPr>
          <w:rFonts w:hint="default" w:ascii="黑体" w:hAnsi="黑体" w:eastAsia="黑体" w:cs="黑体"/>
          <w:b w:val="0"/>
          <w:bCs/>
          <w:sz w:val="32"/>
          <w:szCs w:val="32"/>
          <w:lang w:val="en-US" w:eastAsia="zh-CN"/>
        </w:rPr>
      </w:pPr>
      <w:bookmarkStart w:id="0" w:name="_GoBack"/>
      <w:bookmarkEnd w:id="0"/>
      <w:r>
        <w:rPr>
          <w:rFonts w:hint="eastAsia" w:ascii="黑体" w:hAnsi="黑体" w:eastAsia="黑体" w:cs="黑体"/>
          <w:b w:val="0"/>
          <w:bCs/>
          <w:sz w:val="32"/>
          <w:szCs w:val="32"/>
        </w:rPr>
        <w:t>附件</w:t>
      </w:r>
      <w:r>
        <w:rPr>
          <w:rFonts w:hint="eastAsia" w:ascii="黑体" w:hAnsi="黑体" w:eastAsia="黑体" w:cs="黑体"/>
          <w:b w:val="0"/>
          <w:bCs/>
          <w:sz w:val="32"/>
          <w:szCs w:val="32"/>
          <w:lang w:val="en-US" w:eastAsia="zh-CN"/>
        </w:rPr>
        <w:t>7</w:t>
      </w:r>
    </w:p>
    <w:p w14:paraId="53A5C507">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ascii="仿宋_GB2312" w:hAnsi="华文中宋"/>
          <w:b w:val="0"/>
          <w:bCs/>
          <w:sz w:val="36"/>
          <w:szCs w:val="44"/>
        </w:rPr>
      </w:pPr>
    </w:p>
    <w:p w14:paraId="1066B714">
      <w:pPr>
        <w:keepNext w:val="0"/>
        <w:keepLines w:val="0"/>
        <w:pageBreakBefore w:val="0"/>
        <w:widowControl w:val="0"/>
        <w:kinsoku/>
        <w:wordWrap/>
        <w:overflowPunct/>
        <w:topLinePunct w:val="0"/>
        <w:autoSpaceDE/>
        <w:autoSpaceDN/>
        <w:bidi w:val="0"/>
        <w:adjustRightInd/>
        <w:snapToGrid w:val="0"/>
        <w:spacing w:line="578" w:lineRule="exact"/>
        <w:jc w:val="center"/>
        <w:textAlignment w:val="auto"/>
        <w:rPr>
          <w:rFonts w:ascii="宋体" w:hAnsi="宋体" w:eastAsia="宋体" w:cs="宋体"/>
          <w:b/>
          <w:bCs w:val="0"/>
          <w:sz w:val="44"/>
          <w:szCs w:val="44"/>
        </w:rPr>
      </w:pPr>
      <w:r>
        <w:rPr>
          <w:rFonts w:hint="eastAsia" w:ascii="宋体" w:hAnsi="宋体" w:eastAsia="宋体" w:cs="宋体"/>
          <w:b/>
          <w:bCs w:val="0"/>
          <w:sz w:val="44"/>
          <w:szCs w:val="44"/>
          <w:lang w:val="en-US" w:eastAsia="zh-CN"/>
        </w:rPr>
        <w:t>海南</w:t>
      </w:r>
      <w:r>
        <w:rPr>
          <w:rFonts w:hint="eastAsia" w:ascii="宋体" w:hAnsi="宋体" w:eastAsia="宋体" w:cs="宋体"/>
          <w:b/>
          <w:bCs w:val="0"/>
          <w:sz w:val="44"/>
          <w:szCs w:val="44"/>
        </w:rPr>
        <w:t>省医疗服务与保障能力提升（医疗卫生机构能力建设）补助资金</w:t>
      </w:r>
      <w:r>
        <w:rPr>
          <w:rFonts w:hint="eastAsia" w:ascii="宋体" w:hAnsi="宋体" w:eastAsia="宋体" w:cs="宋体"/>
          <w:b/>
          <w:bCs w:val="0"/>
          <w:sz w:val="44"/>
          <w:szCs w:val="44"/>
          <w:lang w:eastAsia="zh-CN"/>
        </w:rPr>
        <w:t>（</w:t>
      </w:r>
      <w:r>
        <w:rPr>
          <w:rFonts w:hint="eastAsia" w:ascii="宋体" w:hAnsi="宋体" w:eastAsia="宋体" w:cs="宋体"/>
          <w:b/>
          <w:bCs w:val="0"/>
          <w:sz w:val="44"/>
          <w:szCs w:val="44"/>
          <w:lang w:val="en-US" w:eastAsia="zh-CN"/>
        </w:rPr>
        <w:t>第四批</w:t>
      </w:r>
      <w:r>
        <w:rPr>
          <w:rFonts w:hint="eastAsia" w:ascii="宋体" w:hAnsi="宋体" w:eastAsia="宋体" w:cs="宋体"/>
          <w:b/>
          <w:bCs w:val="0"/>
          <w:sz w:val="44"/>
          <w:szCs w:val="44"/>
          <w:lang w:eastAsia="zh-CN"/>
        </w:rPr>
        <w:t>）</w:t>
      </w:r>
      <w:r>
        <w:rPr>
          <w:rFonts w:hint="eastAsia" w:ascii="宋体" w:hAnsi="宋体" w:eastAsia="宋体" w:cs="宋体"/>
          <w:b/>
          <w:bCs w:val="0"/>
          <w:sz w:val="44"/>
          <w:szCs w:val="44"/>
        </w:rPr>
        <w:t>转移支付20</w:t>
      </w:r>
      <w:r>
        <w:rPr>
          <w:rFonts w:hint="eastAsia" w:ascii="宋体" w:hAnsi="宋体" w:eastAsia="宋体" w:cs="宋体"/>
          <w:b/>
          <w:bCs w:val="0"/>
          <w:sz w:val="44"/>
          <w:szCs w:val="44"/>
          <w:lang w:val="en-US" w:eastAsia="zh-CN"/>
        </w:rPr>
        <w:t>24</w:t>
      </w:r>
      <w:r>
        <w:rPr>
          <w:rFonts w:hint="eastAsia" w:ascii="宋体" w:hAnsi="宋体" w:eastAsia="宋体" w:cs="宋体"/>
          <w:b/>
          <w:bCs w:val="0"/>
          <w:sz w:val="44"/>
          <w:szCs w:val="44"/>
        </w:rPr>
        <w:t>年度绩效自评报告</w:t>
      </w:r>
    </w:p>
    <w:p w14:paraId="493BE050">
      <w:pPr>
        <w:keepNext w:val="0"/>
        <w:keepLines w:val="0"/>
        <w:pageBreakBefore w:val="0"/>
        <w:widowControl w:val="0"/>
        <w:kinsoku/>
        <w:wordWrap/>
        <w:overflowPunct/>
        <w:topLinePunct w:val="0"/>
        <w:autoSpaceDE/>
        <w:autoSpaceDN/>
        <w:bidi w:val="0"/>
        <w:adjustRightInd/>
        <w:snapToGrid w:val="0"/>
        <w:spacing w:line="578" w:lineRule="exact"/>
        <w:ind w:firstLine="640" w:firstLineChars="200"/>
        <w:textAlignment w:val="auto"/>
        <w:rPr>
          <w:rFonts w:hint="eastAsia" w:ascii="黑体" w:hAnsi="黑体" w:eastAsia="黑体" w:cs="黑体"/>
          <w:b w:val="0"/>
          <w:bCs/>
          <w:sz w:val="32"/>
          <w:szCs w:val="32"/>
        </w:rPr>
      </w:pPr>
    </w:p>
    <w:p w14:paraId="46F4A101">
      <w:pPr>
        <w:keepNext w:val="0"/>
        <w:keepLines w:val="0"/>
        <w:pageBreakBefore w:val="0"/>
        <w:widowControl w:val="0"/>
        <w:kinsoku/>
        <w:wordWrap/>
        <w:overflowPunct/>
        <w:topLinePunct w:val="0"/>
        <w:autoSpaceDE/>
        <w:autoSpaceDN/>
        <w:bidi w:val="0"/>
        <w:adjustRightInd/>
        <w:snapToGrid w:val="0"/>
        <w:spacing w:line="578" w:lineRule="exact"/>
        <w:ind w:firstLine="640" w:firstLineChars="200"/>
        <w:textAlignment w:val="auto"/>
        <w:rPr>
          <w:rFonts w:ascii="黑体" w:hAnsi="黑体" w:eastAsia="黑体" w:cs="黑体"/>
          <w:b w:val="0"/>
          <w:bCs/>
          <w:sz w:val="32"/>
          <w:szCs w:val="32"/>
        </w:rPr>
      </w:pPr>
      <w:r>
        <w:rPr>
          <w:rFonts w:hint="eastAsia" w:ascii="黑体" w:hAnsi="黑体" w:eastAsia="黑体" w:cs="黑体"/>
          <w:b w:val="0"/>
          <w:bCs/>
          <w:sz w:val="32"/>
          <w:szCs w:val="32"/>
        </w:rPr>
        <w:t>一、绩效目标分解下达情况</w:t>
      </w:r>
    </w:p>
    <w:p w14:paraId="08B29DE5">
      <w:pPr>
        <w:keepNext w:val="0"/>
        <w:keepLines w:val="0"/>
        <w:pageBreakBefore w:val="0"/>
        <w:widowControl w:val="0"/>
        <w:kinsoku/>
        <w:wordWrap/>
        <w:overflowPunct/>
        <w:topLinePunct w:val="0"/>
        <w:autoSpaceDE/>
        <w:autoSpaceDN/>
        <w:bidi w:val="0"/>
        <w:adjustRightInd/>
        <w:snapToGrid w:val="0"/>
        <w:spacing w:line="578" w:lineRule="exact"/>
        <w:ind w:firstLine="640" w:firstLineChars="200"/>
        <w:textAlignment w:val="auto"/>
        <w:outlineLvl w:val="0"/>
        <w:rPr>
          <w:rFonts w:hint="eastAsia" w:ascii="仿宋" w:hAnsi="仿宋" w:eastAsia="仿宋" w:cs="仿宋"/>
          <w:b w:val="0"/>
          <w:bCs/>
          <w:sz w:val="32"/>
          <w:szCs w:val="32"/>
        </w:rPr>
      </w:pPr>
      <w:r>
        <w:rPr>
          <w:rFonts w:hint="eastAsia" w:ascii="仿宋" w:hAnsi="仿宋" w:eastAsia="仿宋" w:cs="仿宋"/>
          <w:b w:val="0"/>
          <w:bCs/>
          <w:sz w:val="32"/>
          <w:szCs w:val="32"/>
          <w:lang w:eastAsia="zh-CN"/>
        </w:rPr>
        <w:t>（内容包括</w:t>
      </w:r>
      <w:r>
        <w:rPr>
          <w:rFonts w:hint="eastAsia" w:ascii="仿宋" w:hAnsi="仿宋" w:eastAsia="仿宋" w:cs="仿宋"/>
          <w:b w:val="0"/>
          <w:bCs/>
          <w:sz w:val="32"/>
          <w:szCs w:val="32"/>
        </w:rPr>
        <w:t>中央下达</w:t>
      </w:r>
      <w:r>
        <w:rPr>
          <w:rFonts w:hint="eastAsia" w:ascii="仿宋" w:hAnsi="仿宋" w:eastAsia="仿宋" w:cs="仿宋"/>
          <w:b w:val="0"/>
          <w:bCs/>
          <w:sz w:val="32"/>
          <w:szCs w:val="32"/>
          <w:lang w:eastAsia="zh-CN"/>
        </w:rPr>
        <w:t>本省</w:t>
      </w:r>
      <w:r>
        <w:rPr>
          <w:rFonts w:hint="eastAsia" w:ascii="仿宋" w:hAnsi="仿宋" w:eastAsia="仿宋" w:cs="仿宋"/>
          <w:b w:val="0"/>
          <w:bCs/>
          <w:sz w:val="32"/>
          <w:szCs w:val="32"/>
        </w:rPr>
        <w:t>医疗服务与保障能力提升（医疗卫生机构能力建设）补助资金</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第四批</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转移支付预算和</w:t>
      </w:r>
      <w:r>
        <w:rPr>
          <w:rFonts w:hint="eastAsia" w:ascii="仿宋" w:hAnsi="仿宋" w:eastAsia="仿宋" w:cs="仿宋"/>
          <w:b w:val="0"/>
          <w:bCs/>
          <w:sz w:val="32"/>
          <w:szCs w:val="32"/>
          <w:lang w:eastAsia="zh-CN"/>
        </w:rPr>
        <w:t>区域</w:t>
      </w:r>
      <w:r>
        <w:rPr>
          <w:rFonts w:hint="eastAsia" w:ascii="仿宋" w:hAnsi="仿宋" w:eastAsia="仿宋" w:cs="仿宋"/>
          <w:b w:val="0"/>
          <w:bCs/>
          <w:sz w:val="32"/>
          <w:szCs w:val="32"/>
        </w:rPr>
        <w:t>绩效目标情况。省内资金安排、分解下达预算和绩效目标情况。</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ab/>
      </w:r>
    </w:p>
    <w:p w14:paraId="21B49B89">
      <w:pPr>
        <w:keepNext w:val="0"/>
        <w:keepLines w:val="0"/>
        <w:pageBreakBefore w:val="0"/>
        <w:widowControl w:val="0"/>
        <w:kinsoku/>
        <w:wordWrap/>
        <w:overflowPunct/>
        <w:topLinePunct w:val="0"/>
        <w:autoSpaceDE/>
        <w:autoSpaceDN/>
        <w:bidi w:val="0"/>
        <w:adjustRightInd/>
        <w:snapToGrid w:val="0"/>
        <w:spacing w:line="578" w:lineRule="exact"/>
        <w:ind w:firstLine="640" w:firstLineChars="200"/>
        <w:textAlignment w:val="auto"/>
        <w:outlineLvl w:val="0"/>
        <w:rPr>
          <w:rFonts w:hint="default" w:ascii="仿宋" w:hAnsi="仿宋" w:eastAsia="仿宋" w:cs="仿宋"/>
          <w:b w:val="0"/>
          <w:bCs/>
          <w:sz w:val="32"/>
          <w:szCs w:val="32"/>
          <w:lang w:val="en-US" w:eastAsia="zh-CN"/>
        </w:rPr>
      </w:pPr>
      <w:r>
        <w:rPr>
          <w:rFonts w:hint="eastAsia" w:ascii="仿宋" w:hAnsi="仿宋" w:eastAsia="仿宋" w:cs="仿宋"/>
          <w:b w:val="0"/>
          <w:bCs/>
          <w:sz w:val="32"/>
          <w:szCs w:val="32"/>
        </w:rPr>
        <w:t>2024年12月2日海南省卫健委下达《海南省卫生健康委员会关于印发2024年医疗服务与保障能力提升(医疗卫生机构能力建设)危重孕产妇和新生儿诊断救治能力提升等3个项目实施方案的通知》（琼卫妇幼函[2024]40号）确认我院为危重新生儿救治中心并拨付建设资金300万，我院已根据先关文件要求制定危重新生儿建设方案，结合我院实际情况计划将约210万用于设备购置，58.5万用于人才培养，39.5万用于开展开展EENC培训、新生儿窒息复苏等培训，推动琼南地区新生儿救治能力提升剩余两万用于开展早产儿活动日的特色人文服务。</w:t>
      </w:r>
    </w:p>
    <w:p w14:paraId="4A7AC7D7">
      <w:pPr>
        <w:keepNext w:val="0"/>
        <w:keepLines w:val="0"/>
        <w:pageBreakBefore w:val="0"/>
        <w:widowControl w:val="0"/>
        <w:kinsoku/>
        <w:wordWrap/>
        <w:overflowPunct/>
        <w:topLinePunct w:val="0"/>
        <w:autoSpaceDE/>
        <w:autoSpaceDN/>
        <w:bidi w:val="0"/>
        <w:adjustRightInd/>
        <w:snapToGrid w:val="0"/>
        <w:spacing w:line="578" w:lineRule="exact"/>
        <w:ind w:firstLine="640" w:firstLineChars="200"/>
        <w:textAlignment w:val="auto"/>
        <w:rPr>
          <w:rFonts w:ascii="黑体" w:hAnsi="黑体" w:eastAsia="黑体" w:cs="黑体"/>
          <w:b w:val="0"/>
          <w:bCs/>
          <w:sz w:val="32"/>
          <w:szCs w:val="32"/>
          <w:highlight w:val="none"/>
        </w:rPr>
      </w:pPr>
      <w:r>
        <w:rPr>
          <w:rFonts w:hint="eastAsia" w:ascii="黑体" w:hAnsi="黑体" w:eastAsia="黑体" w:cs="黑体"/>
          <w:b w:val="0"/>
          <w:bCs/>
          <w:sz w:val="32"/>
          <w:szCs w:val="32"/>
          <w:highlight w:val="none"/>
        </w:rPr>
        <w:t>二、</w:t>
      </w:r>
      <w:r>
        <w:rPr>
          <w:rFonts w:hint="eastAsia" w:ascii="黑体" w:hAnsi="黑体" w:eastAsia="黑体" w:cs="黑体"/>
          <w:b w:val="0"/>
          <w:bCs/>
          <w:sz w:val="32"/>
          <w:szCs w:val="32"/>
          <w:highlight w:val="none"/>
          <w:lang w:eastAsia="zh-CN"/>
        </w:rPr>
        <w:t>绩效</w:t>
      </w:r>
      <w:r>
        <w:rPr>
          <w:rFonts w:hint="eastAsia" w:ascii="黑体" w:hAnsi="黑体" w:eastAsia="黑体" w:cs="黑体"/>
          <w:b w:val="0"/>
          <w:bCs/>
          <w:sz w:val="32"/>
          <w:szCs w:val="32"/>
          <w:highlight w:val="none"/>
        </w:rPr>
        <w:t>情况分析</w:t>
      </w:r>
    </w:p>
    <w:p w14:paraId="4C5C9B29">
      <w:pPr>
        <w:keepNext w:val="0"/>
        <w:keepLines w:val="0"/>
        <w:pageBreakBefore w:val="0"/>
        <w:widowControl w:val="0"/>
        <w:kinsoku/>
        <w:wordWrap/>
        <w:overflowPunct/>
        <w:topLinePunct w:val="0"/>
        <w:autoSpaceDE/>
        <w:autoSpaceDN/>
        <w:bidi w:val="0"/>
        <w:adjustRightInd/>
        <w:snapToGrid w:val="0"/>
        <w:spacing w:line="578" w:lineRule="exact"/>
        <w:ind w:firstLine="640" w:firstLineChars="200"/>
        <w:textAlignment w:val="auto"/>
        <w:outlineLvl w:val="0"/>
        <w:rPr>
          <w:rFonts w:hint="eastAsia" w:ascii="楷体_GB2312" w:hAnsi="楷体_GB2312" w:eastAsia="楷体_GB2312" w:cs="楷体_GB2312"/>
          <w:b w:val="0"/>
          <w:bCs/>
          <w:sz w:val="32"/>
          <w:szCs w:val="32"/>
          <w:highlight w:val="none"/>
        </w:rPr>
      </w:pPr>
      <w:r>
        <w:rPr>
          <w:rFonts w:hint="eastAsia" w:ascii="楷体_GB2312" w:hAnsi="楷体_GB2312" w:eastAsia="楷体_GB2312" w:cs="楷体_GB2312"/>
          <w:b w:val="0"/>
          <w:bCs/>
          <w:sz w:val="32"/>
          <w:szCs w:val="32"/>
          <w:highlight w:val="none"/>
        </w:rPr>
        <w:t>（一）资金投入情况分析。</w:t>
      </w:r>
    </w:p>
    <w:p w14:paraId="6187041E">
      <w:pPr>
        <w:keepNext w:val="0"/>
        <w:keepLines w:val="0"/>
        <w:pageBreakBefore w:val="0"/>
        <w:widowControl w:val="0"/>
        <w:kinsoku/>
        <w:wordWrap/>
        <w:overflowPunct/>
        <w:topLinePunct w:val="0"/>
        <w:autoSpaceDE/>
        <w:autoSpaceDN/>
        <w:bidi w:val="0"/>
        <w:adjustRightInd/>
        <w:snapToGrid w:val="0"/>
        <w:spacing w:line="578" w:lineRule="exact"/>
        <w:ind w:firstLine="640" w:firstLineChars="200"/>
        <w:textAlignment w:val="auto"/>
        <w:outlineLvl w:val="0"/>
        <w:rPr>
          <w:rFonts w:hint="default"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我院于2024年12月2日收到省财政拨付用于支持危重新生儿救治中心项目建设的资金300万元，介于经费下拨时已临近财政账户封账节点，故该笔经费2024年未支出。</w:t>
      </w:r>
    </w:p>
    <w:p w14:paraId="50C084BE">
      <w:pPr>
        <w:keepNext w:val="0"/>
        <w:keepLines w:val="0"/>
        <w:pageBreakBefore w:val="0"/>
        <w:widowControl w:val="0"/>
        <w:kinsoku/>
        <w:wordWrap/>
        <w:overflowPunct/>
        <w:topLinePunct w:val="0"/>
        <w:autoSpaceDE/>
        <w:autoSpaceDN/>
        <w:bidi w:val="0"/>
        <w:adjustRightInd/>
        <w:snapToGrid w:val="0"/>
        <w:spacing w:line="578" w:lineRule="exact"/>
        <w:ind w:firstLine="640" w:firstLineChars="200"/>
        <w:jc w:val="left"/>
        <w:textAlignment w:val="auto"/>
        <w:outlineLvl w:val="0"/>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highlight w:val="none"/>
          <w:lang w:eastAsia="zh-CN"/>
        </w:rPr>
        <w:t>（二）资金管理情况分析。</w:t>
      </w:r>
      <w:r>
        <w:rPr>
          <w:rFonts w:hint="eastAsia" w:ascii="仿宋" w:hAnsi="仿宋" w:eastAsia="仿宋" w:cs="仿宋"/>
          <w:b w:val="0"/>
          <w:bCs/>
          <w:sz w:val="32"/>
          <w:szCs w:val="32"/>
          <w:highlight w:val="none"/>
          <w:lang w:eastAsia="zh-CN"/>
        </w:rPr>
        <w:br w:type="textWrapping"/>
      </w:r>
      <w:r>
        <w:rPr>
          <w:rFonts w:hint="eastAsia" w:ascii="仿宋" w:hAnsi="仿宋" w:eastAsia="仿宋" w:cs="仿宋"/>
          <w:b w:val="0"/>
          <w:bCs/>
          <w:sz w:val="32"/>
          <w:szCs w:val="32"/>
          <w:highlight w:val="none"/>
          <w:lang w:val="en-US" w:eastAsia="zh-CN"/>
        </w:rPr>
        <w:t xml:space="preserve">    根据《</w:t>
      </w:r>
      <w:r>
        <w:rPr>
          <w:rFonts w:hint="eastAsia" w:ascii="仿宋" w:hAnsi="仿宋" w:eastAsia="仿宋" w:cs="仿宋"/>
          <w:bCs/>
          <w:color w:val="auto"/>
          <w:kern w:val="2"/>
          <w:sz w:val="32"/>
          <w:szCs w:val="32"/>
          <w:highlight w:val="none"/>
          <w:lang w:val="en-US" w:eastAsia="zh-CN" w:bidi="ar"/>
        </w:rPr>
        <w:t>2024年医疗服务与保障能力提升（医疗卫生机构能力建设）危重孕产妇和新生儿诊断救治能力提升项目实施方案</w:t>
      </w:r>
      <w:r>
        <w:rPr>
          <w:rFonts w:hint="eastAsia" w:ascii="仿宋" w:hAnsi="仿宋" w:eastAsia="仿宋" w:cs="仿宋"/>
          <w:b w:val="0"/>
          <w:bCs/>
          <w:sz w:val="32"/>
          <w:szCs w:val="32"/>
          <w:highlight w:val="none"/>
          <w:lang w:val="en-US" w:eastAsia="zh-CN"/>
        </w:rPr>
        <w:t>》要求，结合我院实际建设需求对该笔经费支出分配如下：</w:t>
      </w:r>
      <w:r>
        <w:rPr>
          <w:rFonts w:hint="eastAsia" w:ascii="仿宋" w:hAnsi="仿宋" w:eastAsia="仿宋" w:cs="仿宋"/>
          <w:b w:val="0"/>
          <w:bCs/>
          <w:sz w:val="32"/>
          <w:szCs w:val="32"/>
          <w:highlight w:val="none"/>
          <w:lang w:val="en-US" w:eastAsia="zh-CN"/>
        </w:rPr>
        <w:br w:type="textWrapping"/>
      </w:r>
      <w:r>
        <w:rPr>
          <w:rFonts w:hint="eastAsia" w:ascii="仿宋" w:hAnsi="仿宋" w:eastAsia="仿宋" w:cs="仿宋"/>
          <w:b w:val="0"/>
          <w:bCs/>
          <w:sz w:val="32"/>
          <w:szCs w:val="32"/>
          <w:highlight w:val="none"/>
          <w:lang w:val="en-US" w:eastAsia="zh-CN"/>
        </w:rPr>
        <w:t xml:space="preserve">   1.</w:t>
      </w:r>
      <w:r>
        <w:rPr>
          <w:rFonts w:hint="eastAsia" w:ascii="仿宋" w:hAnsi="仿宋" w:eastAsia="仿宋" w:cs="仿宋"/>
          <w:bCs/>
          <w:sz w:val="32"/>
          <w:szCs w:val="32"/>
          <w:highlight w:val="none"/>
        </w:rPr>
        <w:t>技术提升（新技术新项目）</w:t>
      </w:r>
      <w:r>
        <w:rPr>
          <w:rFonts w:hint="eastAsia" w:ascii="仿宋" w:hAnsi="仿宋" w:eastAsia="仿宋" w:cs="仿宋"/>
          <w:bCs/>
          <w:sz w:val="32"/>
          <w:szCs w:val="32"/>
          <w:highlight w:val="none"/>
        </w:rPr>
        <w:br w:type="textWrapping"/>
      </w:r>
      <w:r>
        <w:rPr>
          <w:rFonts w:hint="eastAsia" w:ascii="仿宋" w:hAnsi="仿宋" w:eastAsia="仿宋" w:cs="仿宋"/>
          <w:bCs/>
          <w:sz w:val="32"/>
          <w:szCs w:val="32"/>
          <w:highlight w:val="none"/>
          <w:lang w:val="en-US" w:eastAsia="zh-CN"/>
        </w:rPr>
        <w:t xml:space="preserve">    </w:t>
      </w:r>
      <w:r>
        <w:rPr>
          <w:rFonts w:hint="eastAsia" w:ascii="仿宋" w:hAnsi="仿宋" w:eastAsia="仿宋" w:cs="仿宋"/>
          <w:color w:val="000000" w:themeColor="text1"/>
          <w:lang w:val="en-US"/>
          <w14:textFill>
            <w14:solidFill>
              <w14:schemeClr w14:val="tx1"/>
            </w14:solidFill>
          </w14:textFill>
        </w:rPr>
        <w:t>为提升高危儿救治能力，根据</w:t>
      </w:r>
      <w:r>
        <w:rPr>
          <w:rFonts w:ascii="仿宋" w:hAnsi="仿宋" w:eastAsia="仿宋" w:cs="仿宋"/>
          <w:color w:val="000000" w:themeColor="text1"/>
          <w:lang w:val="en-US"/>
          <w14:textFill>
            <w14:solidFill>
              <w14:schemeClr w14:val="tx1"/>
            </w14:solidFill>
          </w14:textFill>
        </w:rPr>
        <w:t>《危重新生儿救治中心建设与管理指南</w:t>
      </w:r>
      <w:r>
        <w:rPr>
          <w:rFonts w:hint="eastAsia" w:ascii="仿宋" w:hAnsi="仿宋" w:eastAsia="仿宋" w:cs="仿宋"/>
          <w:color w:val="000000" w:themeColor="text1"/>
          <w:lang w:val="en-US"/>
          <w14:textFill>
            <w14:solidFill>
              <w14:schemeClr w14:val="tx1"/>
            </w14:solidFill>
          </w14:textFill>
        </w:rPr>
        <w:t>》，</w:t>
      </w:r>
      <w:r>
        <w:rPr>
          <w:rFonts w:hint="eastAsia" w:ascii="仿宋" w:hAnsi="仿宋" w:eastAsia="仿宋" w:cs="仿宋"/>
          <w:color w:val="000000" w:themeColor="text1"/>
          <w:lang w:val="en-US" w:eastAsia="zh-CN"/>
          <w14:textFill>
            <w14:solidFill>
              <w14:schemeClr w14:val="tx1"/>
            </w14:solidFill>
          </w14:textFill>
        </w:rPr>
        <w:t>开展</w:t>
      </w:r>
      <w:r>
        <w:rPr>
          <w:rFonts w:hint="eastAsia" w:ascii="仿宋" w:hAnsi="仿宋" w:eastAsia="仿宋" w:cs="仿宋"/>
          <w:color w:val="000000" w:themeColor="text1"/>
          <w:lang w:val="en-US"/>
          <w14:textFill>
            <w14:solidFill>
              <w14:schemeClr w14:val="tx1"/>
            </w14:solidFill>
          </w14:textFill>
        </w:rPr>
        <w:t>重症床旁超声评估技术</w:t>
      </w:r>
      <w:r>
        <w:rPr>
          <w:rFonts w:hint="eastAsia" w:ascii="仿宋" w:hAnsi="仿宋" w:eastAsia="仿宋" w:cs="仿宋"/>
          <w:color w:val="000000" w:themeColor="text1"/>
          <w:lang w:val="en-US" w:eastAsia="zh-CN"/>
          <w14:textFill>
            <w14:solidFill>
              <w14:schemeClr w14:val="tx1"/>
            </w14:solidFill>
          </w14:textFill>
        </w:rPr>
        <w:t>、</w:t>
      </w:r>
      <w:r>
        <w:rPr>
          <w:rFonts w:ascii="仿宋" w:hAnsi="仿宋" w:eastAsia="仿宋" w:cs="仿宋"/>
          <w:color w:val="000000" w:themeColor="text1"/>
          <w:lang w:val="en-US"/>
          <w14:textFill>
            <w14:solidFill>
              <w14:schemeClr w14:val="tx1"/>
            </w14:solidFill>
          </w14:textFill>
        </w:rPr>
        <w:t>新生儿床旁脑功能监测</w:t>
      </w:r>
      <w:r>
        <w:rPr>
          <w:rFonts w:hint="eastAsia" w:ascii="仿宋" w:hAnsi="仿宋" w:eastAsia="仿宋" w:cs="仿宋"/>
          <w:color w:val="000000" w:themeColor="text1"/>
          <w:lang w:val="en-US"/>
          <w14:textFill>
            <w14:solidFill>
              <w14:schemeClr w14:val="tx1"/>
            </w14:solidFill>
          </w14:textFill>
        </w:rPr>
        <w:t>技术</w:t>
      </w:r>
      <w:r>
        <w:rPr>
          <w:rFonts w:hint="eastAsia" w:ascii="仿宋" w:hAnsi="仿宋" w:eastAsia="仿宋" w:cs="仿宋"/>
          <w:color w:val="000000" w:themeColor="text1"/>
          <w:lang w:val="en-US" w:eastAsia="zh-CN"/>
          <w14:textFill>
            <w14:solidFill>
              <w14:schemeClr w14:val="tx1"/>
            </w14:solidFill>
          </w14:textFill>
        </w:rPr>
        <w:t>及</w:t>
      </w:r>
      <w:r>
        <w:rPr>
          <w:rFonts w:ascii="仿宋" w:hAnsi="仿宋" w:eastAsia="仿宋" w:cs="仿宋"/>
          <w:color w:val="000000" w:themeColor="text1"/>
          <w:lang w:val="en-US"/>
          <w14:textFill>
            <w14:solidFill>
              <w14:schemeClr w14:val="tx1"/>
            </w14:solidFill>
          </w14:textFill>
        </w:rPr>
        <w:t>亚低温脑保护</w:t>
      </w:r>
      <w:r>
        <w:rPr>
          <w:rFonts w:hint="eastAsia" w:ascii="仿宋" w:hAnsi="仿宋" w:eastAsia="仿宋" w:cs="仿宋"/>
          <w:color w:val="000000" w:themeColor="text1"/>
          <w:lang w:val="en-US"/>
          <w14:textFill>
            <w14:solidFill>
              <w14:schemeClr w14:val="tx1"/>
            </w14:solidFill>
          </w14:textFill>
        </w:rPr>
        <w:t>技术</w:t>
      </w:r>
      <w:r>
        <w:rPr>
          <w:rFonts w:hint="eastAsia" w:ascii="仿宋" w:hAnsi="仿宋" w:eastAsia="仿宋" w:cs="仿宋"/>
          <w:color w:val="000000" w:themeColor="text1"/>
          <w:lang w:val="en-US" w:eastAsia="zh-CN"/>
          <w14:textFill>
            <w14:solidFill>
              <w14:schemeClr w14:val="tx1"/>
            </w14:solidFill>
          </w14:textFill>
        </w:rPr>
        <w:t>，</w:t>
      </w:r>
      <w:r>
        <w:rPr>
          <w:rFonts w:hint="eastAsia" w:ascii="仿宋" w:hAnsi="仿宋" w:eastAsia="仿宋" w:cs="仿宋"/>
          <w:color w:val="000000" w:themeColor="text1"/>
          <w:lang w:val="en-US"/>
          <w14:textFill>
            <w14:solidFill>
              <w14:schemeClr w14:val="tx1"/>
            </w14:solidFill>
          </w14:textFill>
        </w:rPr>
        <w:t>结合我院现有医疗设备条件，按照填平补齐原则</w:t>
      </w:r>
      <w:r>
        <w:rPr>
          <w:rFonts w:hint="eastAsia" w:ascii="仿宋" w:hAnsi="仿宋" w:eastAsia="仿宋" w:cs="仿宋"/>
          <w:color w:val="000000" w:themeColor="text1"/>
          <w:lang w:val="en-US" w:eastAsia="zh-CN"/>
          <w14:textFill>
            <w14:solidFill>
              <w14:schemeClr w14:val="tx1"/>
            </w14:solidFill>
          </w14:textFill>
        </w:rPr>
        <w:t>，计划购置</w:t>
      </w:r>
      <w:r>
        <w:rPr>
          <w:rFonts w:hint="eastAsia" w:ascii="仿宋" w:hAnsi="仿宋" w:eastAsia="仿宋" w:cs="仿宋"/>
          <w:color w:val="000000" w:themeColor="text1"/>
          <w:kern w:val="2"/>
          <w:szCs w:val="24"/>
          <w14:textFill>
            <w14:solidFill>
              <w14:schemeClr w14:val="tx1"/>
            </w14:solidFill>
          </w14:textFill>
        </w:rPr>
        <w:t>新生儿振幅整合脑电图</w:t>
      </w:r>
      <w:r>
        <w:rPr>
          <w:rFonts w:hint="eastAsia" w:ascii="仿宋" w:hAnsi="仿宋" w:eastAsia="仿宋" w:cs="仿宋"/>
          <w:color w:val="000000" w:themeColor="text1"/>
          <w:kern w:val="2"/>
          <w:szCs w:val="24"/>
          <w:lang w:eastAsia="zh-CN"/>
          <w14:textFill>
            <w14:solidFill>
              <w14:schemeClr w14:val="tx1"/>
            </w14:solidFill>
          </w14:textFill>
        </w:rPr>
        <w:t>、</w:t>
      </w:r>
      <w:r>
        <w:rPr>
          <w:rFonts w:hint="eastAsia" w:ascii="仿宋" w:hAnsi="仿宋" w:eastAsia="仿宋" w:cs="仿宋"/>
          <w:color w:val="000000" w:themeColor="text1"/>
          <w:kern w:val="2"/>
          <w:szCs w:val="24"/>
          <w:lang w:val="en-US" w:eastAsia="zh-CN"/>
          <w14:textFill>
            <w14:solidFill>
              <w14:schemeClr w14:val="tx1"/>
            </w14:solidFill>
          </w14:textFill>
        </w:rPr>
        <w:t>亚低温治疗仪等一批设备，约210万元。</w:t>
      </w:r>
      <w:r>
        <w:rPr>
          <w:rFonts w:hint="eastAsia" w:ascii="仿宋" w:hAnsi="仿宋" w:eastAsia="仿宋" w:cs="仿宋"/>
          <w:color w:val="000000" w:themeColor="text1"/>
          <w:kern w:val="2"/>
          <w:szCs w:val="24"/>
          <w:lang w:val="en-US" w:eastAsia="zh-CN"/>
          <w14:textFill>
            <w14:solidFill>
              <w14:schemeClr w14:val="tx1"/>
            </w14:solidFill>
          </w14:textFill>
        </w:rPr>
        <w:br w:type="textWrapping"/>
      </w:r>
      <w:r>
        <w:rPr>
          <w:rFonts w:hint="eastAsia" w:ascii="仿宋" w:hAnsi="仿宋" w:eastAsia="仿宋" w:cs="仿宋"/>
          <w:color w:val="000000" w:themeColor="text1"/>
          <w:kern w:val="2"/>
          <w:szCs w:val="24"/>
          <w:lang w:val="en-US" w:eastAsia="zh-CN"/>
          <w14:textFill>
            <w14:solidFill>
              <w14:schemeClr w14:val="tx1"/>
            </w14:solidFill>
          </w14:textFill>
        </w:rPr>
        <w:t xml:space="preserve">   2.人才培养</w:t>
      </w:r>
      <w:r>
        <w:rPr>
          <w:rFonts w:hint="eastAsia" w:ascii="仿宋" w:hAnsi="仿宋" w:eastAsia="仿宋" w:cs="仿宋"/>
          <w:color w:val="000000" w:themeColor="text1"/>
          <w:kern w:val="2"/>
          <w:szCs w:val="24"/>
          <w:lang w:val="en-US" w:eastAsia="zh-CN"/>
          <w14:textFill>
            <w14:solidFill>
              <w14:schemeClr w14:val="tx1"/>
            </w14:solidFill>
          </w14:textFill>
        </w:rPr>
        <w:br w:type="textWrapping"/>
      </w:r>
      <w:r>
        <w:rPr>
          <w:rFonts w:hint="eastAsia" w:ascii="仿宋" w:hAnsi="仿宋" w:eastAsia="仿宋" w:cs="仿宋"/>
          <w:color w:val="000000" w:themeColor="text1"/>
          <w:kern w:val="2"/>
          <w:szCs w:val="24"/>
          <w:lang w:val="en-US" w:eastAsia="zh-CN"/>
          <w14:textFill>
            <w14:solidFill>
              <w14:schemeClr w14:val="tx1"/>
            </w14:solidFill>
          </w14:textFill>
        </w:rPr>
        <w:t xml:space="preserve">   </w:t>
      </w:r>
      <w:r>
        <w:rPr>
          <w:rFonts w:hint="eastAsia" w:ascii="仿宋" w:hAnsi="仿宋" w:eastAsia="仿宋" w:cs="仿宋"/>
          <w:color w:val="000000" w:themeColor="text1"/>
          <w:lang w:val="en-US"/>
          <w14:textFill>
            <w14:solidFill>
              <w14:schemeClr w14:val="tx1"/>
            </w14:solidFill>
          </w14:textFill>
        </w:rPr>
        <w:t>为</w:t>
      </w:r>
      <w:r>
        <w:rPr>
          <w:rFonts w:hint="eastAsia" w:ascii="仿宋" w:hAnsi="仿宋" w:eastAsia="仿宋" w:cs="仿宋"/>
          <w:color w:val="000000" w:themeColor="text1"/>
          <w:lang w:val="en-US" w:eastAsia="zh-CN"/>
          <w14:textFill>
            <w14:solidFill>
              <w14:schemeClr w14:val="tx1"/>
            </w14:solidFill>
          </w14:textFill>
        </w:rPr>
        <w:t>计划投入58.5万元用于</w:t>
      </w:r>
      <w:r>
        <w:rPr>
          <w:rFonts w:hint="eastAsia" w:ascii="仿宋" w:hAnsi="仿宋" w:eastAsia="仿宋" w:cs="仿宋"/>
          <w:color w:val="000000" w:themeColor="text1"/>
          <w:lang w:val="en-US"/>
          <w14:textFill>
            <w14:solidFill>
              <w14:schemeClr w14:val="tx1"/>
            </w14:solidFill>
          </w14:textFill>
        </w:rPr>
        <w:t>加强专科人才队伍建设，派遣专科医师、护士外出进修、学习，提升专科专业能力</w:t>
      </w:r>
      <w:r>
        <w:rPr>
          <w:rFonts w:hint="eastAsia" w:ascii="仿宋" w:hAnsi="仿宋" w:eastAsia="仿宋" w:cs="仿宋"/>
          <w:color w:val="000000" w:themeColor="text1"/>
          <w:lang w:val="en-US" w:eastAsia="zh-CN"/>
          <w14:textFill>
            <w14:solidFill>
              <w14:schemeClr w14:val="tx1"/>
            </w14:solidFill>
          </w14:textFill>
        </w:rPr>
        <w:t>；</w:t>
      </w:r>
      <w:r>
        <w:rPr>
          <w:rFonts w:hint="eastAsia" w:ascii="仿宋" w:hAnsi="仿宋" w:eastAsia="仿宋" w:cs="仿宋"/>
          <w:color w:val="000000" w:themeColor="text1"/>
          <w:lang w:val="en-US"/>
          <w14:textFill>
            <w14:solidFill>
              <w14:schemeClr w14:val="tx1"/>
            </w14:solidFill>
          </w14:textFill>
        </w:rPr>
        <w:t>同时</w:t>
      </w:r>
      <w:r>
        <w:rPr>
          <w:rFonts w:hint="eastAsia" w:ascii="仿宋" w:hAnsi="仿宋" w:eastAsia="仿宋" w:cs="仿宋"/>
          <w:color w:val="000000" w:themeColor="text1"/>
          <w:lang w:val="en-US" w:eastAsia="zh-CN"/>
          <w14:textFill>
            <w14:solidFill>
              <w14:schemeClr w14:val="tx1"/>
            </w14:solidFill>
          </w14:textFill>
        </w:rPr>
        <w:t>计划投入39.5万元用于依托琼南妇儿专科联盟及紧密型医联体建设，开展</w:t>
      </w:r>
      <w:r>
        <w:rPr>
          <w:rFonts w:hint="eastAsia" w:ascii="仿宋" w:hAnsi="仿宋" w:eastAsia="仿宋" w:cs="仿宋"/>
          <w:color w:val="000000" w:themeColor="text1"/>
          <w:sz w:val="30"/>
          <w14:textFill>
            <w14:solidFill>
              <w14:schemeClr w14:val="tx1"/>
            </w14:solidFill>
          </w14:textFill>
        </w:rPr>
        <w:t>EENC培训</w:t>
      </w:r>
      <w:r>
        <w:rPr>
          <w:rFonts w:hint="eastAsia" w:ascii="仿宋" w:hAnsi="仿宋" w:eastAsia="仿宋" w:cs="仿宋"/>
          <w:color w:val="000000" w:themeColor="text1"/>
          <w:sz w:val="30"/>
          <w:lang w:eastAsia="zh-CN"/>
          <w14:textFill>
            <w14:solidFill>
              <w14:schemeClr w14:val="tx1"/>
            </w14:solidFill>
          </w14:textFill>
        </w:rPr>
        <w:t>、</w:t>
      </w:r>
      <w:r>
        <w:rPr>
          <w:rFonts w:hint="eastAsia" w:ascii="仿宋" w:hAnsi="仿宋" w:eastAsia="仿宋" w:cs="仿宋"/>
          <w:color w:val="000000" w:themeColor="text1"/>
          <w:sz w:val="30"/>
          <w14:textFill>
            <w14:solidFill>
              <w14:schemeClr w14:val="tx1"/>
            </w14:solidFill>
          </w14:textFill>
        </w:rPr>
        <w:t>新生儿窒息复苏</w:t>
      </w:r>
      <w:r>
        <w:rPr>
          <w:rFonts w:hint="eastAsia" w:ascii="仿宋" w:hAnsi="仿宋" w:eastAsia="仿宋" w:cs="仿宋"/>
          <w:color w:val="000000" w:themeColor="text1"/>
          <w:sz w:val="30"/>
          <w:lang w:val="en-US" w:eastAsia="zh-CN"/>
          <w14:textFill>
            <w14:solidFill>
              <w14:schemeClr w14:val="tx1"/>
            </w14:solidFill>
          </w14:textFill>
        </w:rPr>
        <w:t>等培训，</w:t>
      </w:r>
      <w:r>
        <w:rPr>
          <w:rFonts w:hint="eastAsia" w:ascii="仿宋" w:hAnsi="仿宋" w:eastAsia="仿宋" w:cs="仿宋"/>
          <w:color w:val="000000" w:themeColor="text1"/>
          <w:lang w:val="en-US"/>
          <w14:textFill>
            <w14:solidFill>
              <w14:schemeClr w14:val="tx1"/>
            </w14:solidFill>
          </w14:textFill>
        </w:rPr>
        <w:t>将知识通过下乡、开展培训班等方式下沉至基层</w:t>
      </w:r>
      <w:r>
        <w:rPr>
          <w:rFonts w:hint="eastAsia" w:ascii="仿宋" w:hAnsi="仿宋" w:eastAsia="仿宋" w:cs="仿宋"/>
          <w:color w:val="000000" w:themeColor="text1"/>
          <w:lang w:val="en-US" w:eastAsia="zh-CN"/>
          <w14:textFill>
            <w14:solidFill>
              <w14:schemeClr w14:val="tx1"/>
            </w14:solidFill>
          </w14:textFill>
        </w:rPr>
        <w:t>，推动琼南地区</w:t>
      </w:r>
      <w:r>
        <w:rPr>
          <w:rFonts w:hint="eastAsia" w:ascii="仿宋" w:hAnsi="仿宋" w:eastAsia="仿宋" w:cs="仿宋"/>
          <w:color w:val="000000" w:themeColor="text1"/>
          <w:lang w:val="en-US"/>
          <w14:textFill>
            <w14:solidFill>
              <w14:schemeClr w14:val="tx1"/>
            </w14:solidFill>
          </w14:textFill>
        </w:rPr>
        <w:t>新生儿救治能力提升</w:t>
      </w:r>
      <w:r>
        <w:rPr>
          <w:rFonts w:hint="eastAsia" w:ascii="仿宋" w:hAnsi="仿宋" w:eastAsia="仿宋" w:cs="仿宋"/>
          <w:color w:val="000000" w:themeColor="text1"/>
          <w:lang w:val="en-US" w:eastAsia="zh-CN"/>
          <w14:textFill>
            <w14:solidFill>
              <w14:schemeClr w14:val="tx1"/>
            </w14:solidFill>
          </w14:textFill>
        </w:rPr>
        <w:t>。</w:t>
      </w:r>
    </w:p>
    <w:p w14:paraId="2277567C">
      <w:pPr>
        <w:keepNext w:val="0"/>
        <w:keepLines w:val="0"/>
        <w:pageBreakBefore w:val="0"/>
        <w:widowControl w:val="0"/>
        <w:kinsoku/>
        <w:wordWrap/>
        <w:overflowPunct/>
        <w:topLinePunct w:val="0"/>
        <w:autoSpaceDE/>
        <w:autoSpaceDN/>
        <w:bidi w:val="0"/>
        <w:adjustRightInd/>
        <w:snapToGrid w:val="0"/>
        <w:spacing w:line="578" w:lineRule="exact"/>
        <w:ind w:left="636" w:leftChars="212" w:firstLine="0" w:firstLineChars="0"/>
        <w:jc w:val="left"/>
        <w:textAlignment w:val="auto"/>
        <w:outlineLvl w:val="0"/>
        <w:rPr>
          <w:rFonts w:hint="eastAsia" w:ascii="仿宋" w:hAnsi="仿宋" w:eastAsia="仿宋" w:cs="仿宋"/>
          <w:b w:val="0"/>
          <w:bCs w:val="0"/>
          <w:color w:val="000000" w:themeColor="text1"/>
          <w:sz w:val="30"/>
          <w:szCs w:val="24"/>
          <w:lang w:val="en-US" w:eastAsia="zh-CN"/>
          <w14:textFill>
            <w14:solidFill>
              <w14:schemeClr w14:val="tx1"/>
            </w14:solidFill>
          </w14:textFill>
        </w:rPr>
      </w:pPr>
      <w:r>
        <w:rPr>
          <w:rFonts w:hint="eastAsia" w:ascii="楷体_GB2312" w:hAnsi="楷体_GB2312" w:eastAsia="楷体_GB2312" w:cs="楷体_GB2312"/>
          <w:b w:val="0"/>
          <w:bCs/>
          <w:sz w:val="32"/>
          <w:szCs w:val="32"/>
          <w:lang w:val="en-US" w:eastAsia="zh-CN"/>
        </w:rPr>
        <w:t>3.其他</w:t>
      </w:r>
      <w:r>
        <w:rPr>
          <w:rFonts w:hint="eastAsia" w:ascii="楷体_GB2312" w:hAnsi="楷体_GB2312" w:eastAsia="楷体_GB2312" w:cs="楷体_GB2312"/>
          <w:b w:val="0"/>
          <w:bCs/>
          <w:sz w:val="32"/>
          <w:szCs w:val="32"/>
          <w:lang w:val="en-US" w:eastAsia="zh-CN"/>
        </w:rPr>
        <w:br w:type="textWrapping"/>
      </w:r>
      <w:r>
        <w:rPr>
          <w:rFonts w:hint="eastAsia" w:ascii="仿宋" w:hAnsi="仿宋" w:eastAsia="仿宋" w:cs="仿宋"/>
          <w:b w:val="0"/>
          <w:bCs w:val="0"/>
          <w:color w:val="000000" w:themeColor="text1"/>
          <w:sz w:val="30"/>
          <w:szCs w:val="24"/>
          <w:lang w:val="en-US" w:eastAsia="zh-CN"/>
          <w14:textFill>
            <w14:solidFill>
              <w14:schemeClr w14:val="tx1"/>
            </w14:solidFill>
          </w14:textFill>
        </w:rPr>
        <w:t>计划投入2万元用于推动优质服务，</w:t>
      </w:r>
      <w:r>
        <w:rPr>
          <w:rFonts w:hint="eastAsia" w:ascii="仿宋" w:hAnsi="仿宋" w:eastAsia="仿宋" w:cs="仿宋"/>
          <w:color w:val="000000" w:themeColor="text1"/>
          <w:kern w:val="2"/>
          <w:szCs w:val="24"/>
          <w:lang w:val="en-US" w:eastAsia="zh-CN"/>
          <w14:textFill>
            <w14:solidFill>
              <w14:schemeClr w14:val="tx1"/>
            </w14:solidFill>
          </w14:textFill>
        </w:rPr>
        <w:t>加强人文关怀，</w:t>
      </w:r>
      <w:r>
        <w:rPr>
          <w:rFonts w:hint="eastAsia" w:ascii="仿宋" w:hAnsi="仿宋" w:eastAsia="仿宋" w:cs="仿宋"/>
          <w:b w:val="0"/>
          <w:bCs w:val="0"/>
          <w:color w:val="000000" w:themeColor="text1"/>
          <w:sz w:val="30"/>
          <w:szCs w:val="24"/>
          <w:lang w:val="en-US" w:eastAsia="zh-CN"/>
          <w14:textFill>
            <w14:solidFill>
              <w14:schemeClr w14:val="tx1"/>
            </w14:solidFill>
          </w14:textFill>
        </w:rPr>
        <w:t>举办院</w:t>
      </w:r>
    </w:p>
    <w:p w14:paraId="1244E0EF">
      <w:pPr>
        <w:keepNext w:val="0"/>
        <w:keepLines w:val="0"/>
        <w:pageBreakBefore w:val="0"/>
        <w:widowControl w:val="0"/>
        <w:kinsoku/>
        <w:wordWrap/>
        <w:overflowPunct/>
        <w:topLinePunct w:val="0"/>
        <w:autoSpaceDE/>
        <w:autoSpaceDN/>
        <w:bidi w:val="0"/>
        <w:adjustRightInd/>
        <w:snapToGrid w:val="0"/>
        <w:spacing w:line="578" w:lineRule="exact"/>
        <w:ind w:firstLine="0" w:firstLineChars="0"/>
        <w:jc w:val="left"/>
        <w:textAlignment w:val="auto"/>
        <w:outlineLvl w:val="0"/>
        <w:rPr>
          <w:rFonts w:hint="eastAsia" w:ascii="仿宋" w:hAnsi="仿宋" w:eastAsia="仿宋" w:cs="仿宋"/>
          <w:b w:val="0"/>
          <w:bCs w:val="0"/>
          <w:color w:val="000000" w:themeColor="text1"/>
          <w:sz w:val="30"/>
          <w:szCs w:val="24"/>
          <w:lang w:val="en-US" w:eastAsia="zh-CN"/>
          <w14:textFill>
            <w14:solidFill>
              <w14:schemeClr w14:val="tx1"/>
            </w14:solidFill>
          </w14:textFill>
        </w:rPr>
      </w:pPr>
      <w:r>
        <w:rPr>
          <w:rFonts w:hint="eastAsia" w:ascii="仿宋" w:hAnsi="仿宋" w:eastAsia="仿宋" w:cs="仿宋"/>
          <w:b w:val="0"/>
          <w:bCs w:val="0"/>
          <w:color w:val="000000" w:themeColor="text1"/>
          <w:sz w:val="30"/>
          <w:szCs w:val="24"/>
          <w:lang w:val="en-US" w:eastAsia="zh-CN"/>
          <w14:textFill>
            <w14:solidFill>
              <w14:schemeClr w14:val="tx1"/>
            </w14:solidFill>
          </w14:textFill>
        </w:rPr>
        <w:t>内</w:t>
      </w:r>
      <w:r>
        <w:rPr>
          <w:rFonts w:hint="eastAsia" w:ascii="仿宋" w:hAnsi="仿宋" w:eastAsia="仿宋" w:cs="仿宋"/>
          <w:color w:val="000000" w:themeColor="text1"/>
          <w:kern w:val="2"/>
          <w:szCs w:val="24"/>
          <w14:textFill>
            <w14:solidFill>
              <w14:schemeClr w14:val="tx1"/>
            </w14:solidFill>
          </w14:textFill>
        </w:rPr>
        <w:t>早产儿活动日</w:t>
      </w:r>
      <w:r>
        <w:rPr>
          <w:rFonts w:hint="eastAsia" w:ascii="仿宋" w:hAnsi="仿宋" w:eastAsia="仿宋" w:cs="仿宋"/>
          <w:color w:val="000000" w:themeColor="text1"/>
          <w:kern w:val="2"/>
          <w:szCs w:val="24"/>
          <w:lang w:val="en-US" w:eastAsia="zh-CN"/>
          <w14:textFill>
            <w14:solidFill>
              <w14:schemeClr w14:val="tx1"/>
            </w14:solidFill>
          </w14:textFill>
        </w:rPr>
        <w:t>等活动。</w:t>
      </w:r>
    </w:p>
    <w:p w14:paraId="5E37B8B7">
      <w:pPr>
        <w:keepNext w:val="0"/>
        <w:keepLines w:val="0"/>
        <w:pageBreakBefore w:val="0"/>
        <w:widowControl w:val="0"/>
        <w:numPr>
          <w:ilvl w:val="0"/>
          <w:numId w:val="0"/>
        </w:numPr>
        <w:kinsoku/>
        <w:wordWrap/>
        <w:overflowPunct/>
        <w:topLinePunct w:val="0"/>
        <w:autoSpaceDE/>
        <w:autoSpaceDN/>
        <w:bidi w:val="0"/>
        <w:adjustRightInd/>
        <w:snapToGrid w:val="0"/>
        <w:spacing w:line="578" w:lineRule="exact"/>
        <w:ind w:firstLine="640" w:firstLineChars="200"/>
        <w:jc w:val="left"/>
        <w:textAlignment w:val="auto"/>
        <w:outlineLvl w:val="0"/>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kern w:val="2"/>
          <w:sz w:val="32"/>
          <w:szCs w:val="32"/>
          <w:lang w:val="en-US" w:eastAsia="zh-CN" w:bidi="ar-SA"/>
        </w:rPr>
        <w:t>（三）</w:t>
      </w:r>
      <w:r>
        <w:rPr>
          <w:rFonts w:hint="eastAsia" w:ascii="楷体_GB2312" w:hAnsi="楷体_GB2312" w:eastAsia="楷体_GB2312" w:cs="楷体_GB2312"/>
          <w:b w:val="0"/>
          <w:bCs/>
          <w:sz w:val="32"/>
          <w:szCs w:val="32"/>
        </w:rPr>
        <w:t>总体绩效目标完成情况分析。</w:t>
      </w:r>
    </w:p>
    <w:p w14:paraId="52785A09">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640" w:firstLineChars="200"/>
        <w:jc w:val="left"/>
        <w:textAlignment w:val="auto"/>
        <w:outlineLvl w:val="0"/>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该笔经费2024年未支出，故无法分析</w:t>
      </w:r>
      <w:r>
        <w:rPr>
          <w:rFonts w:hint="eastAsia" w:ascii="仿宋" w:hAnsi="仿宋" w:eastAsia="仿宋" w:cs="仿宋"/>
          <w:b w:val="0"/>
          <w:bCs/>
          <w:sz w:val="32"/>
          <w:szCs w:val="32"/>
          <w:lang w:eastAsia="zh-CN"/>
        </w:rPr>
        <w:t>全年实际完成情况。</w:t>
      </w:r>
    </w:p>
    <w:p w14:paraId="120BD461">
      <w:pPr>
        <w:keepNext w:val="0"/>
        <w:keepLines w:val="0"/>
        <w:pageBreakBefore w:val="0"/>
        <w:widowControl w:val="0"/>
        <w:kinsoku/>
        <w:wordWrap/>
        <w:overflowPunct/>
        <w:topLinePunct w:val="0"/>
        <w:autoSpaceDE/>
        <w:autoSpaceDN/>
        <w:bidi w:val="0"/>
        <w:adjustRightInd/>
        <w:snapToGrid w:val="0"/>
        <w:spacing w:line="578" w:lineRule="exact"/>
        <w:ind w:firstLine="640" w:firstLineChars="200"/>
        <w:textAlignment w:val="auto"/>
        <w:outlineLvl w:val="0"/>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w:t>
      </w:r>
      <w:r>
        <w:rPr>
          <w:rFonts w:hint="eastAsia" w:ascii="楷体_GB2312" w:hAnsi="楷体_GB2312" w:eastAsia="楷体_GB2312" w:cs="楷体_GB2312"/>
          <w:b w:val="0"/>
          <w:bCs/>
          <w:sz w:val="32"/>
          <w:szCs w:val="32"/>
          <w:lang w:eastAsia="zh-CN"/>
        </w:rPr>
        <w:t>四</w:t>
      </w:r>
      <w:r>
        <w:rPr>
          <w:rFonts w:hint="eastAsia" w:ascii="楷体_GB2312" w:hAnsi="楷体_GB2312" w:eastAsia="楷体_GB2312" w:cs="楷体_GB2312"/>
          <w:b w:val="0"/>
          <w:bCs/>
          <w:sz w:val="32"/>
          <w:szCs w:val="32"/>
        </w:rPr>
        <w:t>）绩效指标完成情况分析。</w:t>
      </w:r>
    </w:p>
    <w:p w14:paraId="4758F607">
      <w:pPr>
        <w:keepNext w:val="0"/>
        <w:keepLines w:val="0"/>
        <w:pageBreakBefore w:val="0"/>
        <w:widowControl w:val="0"/>
        <w:kinsoku/>
        <w:wordWrap/>
        <w:overflowPunct/>
        <w:topLinePunct w:val="0"/>
        <w:autoSpaceDE/>
        <w:autoSpaceDN/>
        <w:bidi w:val="0"/>
        <w:adjustRightInd/>
        <w:snapToGrid w:val="0"/>
        <w:spacing w:line="578" w:lineRule="exact"/>
        <w:ind w:firstLine="640" w:firstLineChars="200"/>
        <w:textAlignment w:val="auto"/>
        <w:outlineLvl w:val="0"/>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该笔经费2024年未支出，故无法分析</w:t>
      </w:r>
      <w:r>
        <w:rPr>
          <w:rFonts w:hint="eastAsia" w:ascii="仿宋" w:hAnsi="仿宋" w:eastAsia="仿宋" w:cs="仿宋"/>
          <w:b w:val="0"/>
          <w:bCs/>
          <w:sz w:val="32"/>
          <w:szCs w:val="32"/>
          <w:lang w:eastAsia="zh-CN"/>
        </w:rPr>
        <w:t>全年实际完成情况。</w:t>
      </w:r>
    </w:p>
    <w:p w14:paraId="2517FD8F">
      <w:pPr>
        <w:snapToGrid w:val="0"/>
        <w:spacing w:line="578" w:lineRule="exact"/>
        <w:ind w:firstLine="640" w:firstLineChars="200"/>
        <w:jc w:val="left"/>
        <w:rPr>
          <w:rFonts w:hint="eastAsia" w:ascii="仿宋" w:hAnsi="仿宋" w:eastAsia="仿宋" w:cs="仿宋"/>
          <w:b w:val="0"/>
          <w:bCs/>
          <w:sz w:val="32"/>
          <w:szCs w:val="32"/>
          <w:lang w:val="en-US" w:eastAsia="zh-CN"/>
        </w:rPr>
      </w:pPr>
      <w:r>
        <w:rPr>
          <w:rFonts w:hint="eastAsia" w:ascii="黑体" w:hAnsi="黑体" w:eastAsia="黑体" w:cs="黑体"/>
          <w:b w:val="0"/>
          <w:bCs/>
          <w:sz w:val="32"/>
          <w:szCs w:val="32"/>
        </w:rPr>
        <w:t>三、偏离绩效目标的原因和下一步改进措施</w:t>
      </w:r>
      <w:r>
        <w:rPr>
          <w:rFonts w:hint="eastAsia" w:ascii="仿宋" w:hAnsi="仿宋" w:eastAsia="仿宋" w:cs="仿宋"/>
          <w:b w:val="0"/>
          <w:bCs/>
          <w:sz w:val="32"/>
          <w:szCs w:val="32"/>
        </w:rPr>
        <w:br w:type="textWrapping"/>
      </w:r>
      <w:r>
        <w:rPr>
          <w:rFonts w:hint="eastAsia" w:ascii="仿宋" w:hAnsi="仿宋" w:eastAsia="仿宋" w:cs="仿宋"/>
          <w:b w:val="0"/>
          <w:bCs/>
          <w:sz w:val="32"/>
          <w:szCs w:val="32"/>
          <w:lang w:val="en-US" w:eastAsia="zh-CN"/>
        </w:rPr>
        <w:t xml:space="preserve">   下一步将按照琼卫妇幼函[2024]40号《海南省卫生健康委员会关于印发2024年医疗服务与保障能力提升(医疗卫生机构能力建设)危重孕产妇和新生儿诊断救治能力提升等3个项目实施</w:t>
      </w:r>
    </w:p>
    <w:p w14:paraId="5003776E">
      <w:pPr>
        <w:keepNext w:val="0"/>
        <w:keepLines w:val="0"/>
        <w:pageBreakBefore w:val="0"/>
        <w:widowControl/>
        <w:kinsoku/>
        <w:wordWrap/>
        <w:overflowPunct/>
        <w:topLinePunct w:val="0"/>
        <w:autoSpaceDE/>
        <w:autoSpaceDN/>
        <w:bidi w:val="0"/>
        <w:adjustRightInd/>
        <w:snapToGrid/>
        <w:spacing w:line="540" w:lineRule="exact"/>
        <w:ind w:firstLine="0" w:firstLineChars="0"/>
        <w:textAlignment w:val="auto"/>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方案的通知》、《</w:t>
      </w:r>
      <w:r>
        <w:rPr>
          <w:rFonts w:hint="eastAsia" w:ascii="仿宋" w:hAnsi="仿宋" w:eastAsia="仿宋" w:cs="仿宋"/>
          <w:b w:val="0"/>
          <w:bCs/>
          <w:color w:val="auto"/>
          <w:sz w:val="32"/>
          <w:szCs w:val="32"/>
        </w:rPr>
        <w:t>上海儿童医学中心海南医院新生儿诊断救治能力提升项目实施方案</w:t>
      </w:r>
      <w:r>
        <w:rPr>
          <w:rFonts w:hint="eastAsia" w:ascii="仿宋" w:hAnsi="仿宋" w:eastAsia="仿宋" w:cs="仿宋"/>
          <w:b w:val="0"/>
          <w:bCs/>
          <w:sz w:val="32"/>
          <w:szCs w:val="32"/>
          <w:lang w:val="en-US" w:eastAsia="zh-CN"/>
        </w:rPr>
        <w:t>》等文件及绩效指标要求，逐步推进资金使用。</w:t>
      </w:r>
    </w:p>
    <w:p w14:paraId="17F5DA48">
      <w:pPr>
        <w:keepNext w:val="0"/>
        <w:keepLines w:val="0"/>
        <w:pageBreakBefore w:val="0"/>
        <w:widowControl w:val="0"/>
        <w:kinsoku/>
        <w:wordWrap/>
        <w:overflowPunct/>
        <w:topLinePunct w:val="0"/>
        <w:autoSpaceDE/>
        <w:autoSpaceDN/>
        <w:bidi w:val="0"/>
        <w:adjustRightInd/>
        <w:snapToGrid w:val="0"/>
        <w:spacing w:line="578"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四、绩效自评结果拟应用和公开情况</w:t>
      </w:r>
    </w:p>
    <w:p w14:paraId="2D69D8F2">
      <w:pPr>
        <w:keepNext w:val="0"/>
        <w:keepLines w:val="0"/>
        <w:pageBreakBefore w:val="0"/>
        <w:widowControl w:val="0"/>
        <w:kinsoku/>
        <w:wordWrap/>
        <w:overflowPunct/>
        <w:topLinePunct w:val="0"/>
        <w:autoSpaceDE/>
        <w:autoSpaceDN/>
        <w:bidi w:val="0"/>
        <w:adjustRightInd/>
        <w:snapToGrid w:val="0"/>
        <w:spacing w:line="578" w:lineRule="exact"/>
        <w:ind w:firstLine="640" w:firstLineChars="200"/>
        <w:textAlignment w:val="auto"/>
        <w:rPr>
          <w:rFonts w:hint="default"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无</w:t>
      </w:r>
    </w:p>
    <w:p w14:paraId="0F8929F5">
      <w:pPr>
        <w:keepNext w:val="0"/>
        <w:keepLines w:val="0"/>
        <w:pageBreakBefore w:val="0"/>
        <w:widowControl w:val="0"/>
        <w:kinsoku/>
        <w:wordWrap/>
        <w:overflowPunct/>
        <w:topLinePunct w:val="0"/>
        <w:autoSpaceDE/>
        <w:autoSpaceDN/>
        <w:bidi w:val="0"/>
        <w:adjustRightInd/>
        <w:snapToGrid w:val="0"/>
        <w:spacing w:line="578" w:lineRule="exact"/>
        <w:ind w:firstLine="640" w:firstLineChars="200"/>
        <w:textAlignment w:val="auto"/>
        <w:rPr>
          <w:rFonts w:ascii="黑体" w:hAnsi="黑体" w:eastAsia="黑体" w:cs="黑体"/>
          <w:b w:val="0"/>
          <w:bCs/>
          <w:sz w:val="32"/>
          <w:szCs w:val="32"/>
        </w:rPr>
      </w:pPr>
      <w:r>
        <w:rPr>
          <w:rFonts w:hint="eastAsia" w:ascii="黑体" w:hAnsi="黑体" w:eastAsia="黑体" w:cs="黑体"/>
          <w:b w:val="0"/>
          <w:bCs/>
          <w:sz w:val="32"/>
          <w:szCs w:val="32"/>
        </w:rPr>
        <w:t>五、其他需要说明的问题</w:t>
      </w:r>
    </w:p>
    <w:p w14:paraId="02C9FEC6">
      <w:pPr>
        <w:keepNext w:val="0"/>
        <w:keepLines w:val="0"/>
        <w:pageBreakBefore w:val="0"/>
        <w:widowControl w:val="0"/>
        <w:kinsoku/>
        <w:wordWrap/>
        <w:overflowPunct/>
        <w:topLinePunct w:val="0"/>
        <w:autoSpaceDE/>
        <w:autoSpaceDN/>
        <w:bidi w:val="0"/>
        <w:adjustRightInd/>
        <w:snapToGrid w:val="0"/>
        <w:spacing w:line="578" w:lineRule="exact"/>
        <w:ind w:firstLine="640"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无</w:t>
      </w:r>
    </w:p>
    <w:p w14:paraId="439AA6A6">
      <w:pPr>
        <w:keepNext w:val="0"/>
        <w:keepLines w:val="0"/>
        <w:pageBreakBefore w:val="0"/>
        <w:widowControl w:val="0"/>
        <w:kinsoku/>
        <w:wordWrap/>
        <w:overflowPunct/>
        <w:topLinePunct w:val="0"/>
        <w:autoSpaceDE/>
        <w:autoSpaceDN/>
        <w:bidi w:val="0"/>
        <w:adjustRightInd/>
        <w:snapToGrid w:val="0"/>
        <w:spacing w:line="578" w:lineRule="exact"/>
        <w:ind w:firstLine="640" w:firstLineChars="200"/>
        <w:textAlignment w:val="auto"/>
        <w:rPr>
          <w:rFonts w:hint="eastAsia" w:ascii="黑体" w:hAnsi="黑体" w:eastAsia="黑体" w:cs="黑体"/>
          <w:b w:val="0"/>
          <w:bCs/>
          <w:sz w:val="32"/>
          <w:szCs w:val="32"/>
          <w:lang w:val="en"/>
        </w:rPr>
      </w:pPr>
      <w:r>
        <w:rPr>
          <w:rFonts w:hint="eastAsia" w:ascii="黑体" w:hAnsi="黑体" w:eastAsia="黑体" w:cs="黑体"/>
          <w:b w:val="0"/>
          <w:bCs/>
          <w:sz w:val="32"/>
          <w:szCs w:val="32"/>
          <w:lang w:val="en"/>
        </w:rPr>
        <w:t>六、附件</w:t>
      </w:r>
    </w:p>
    <w:p w14:paraId="7AAFC0CD">
      <w:pPr>
        <w:keepNext w:val="0"/>
        <w:keepLines w:val="0"/>
        <w:pageBreakBefore w:val="0"/>
        <w:widowControl w:val="0"/>
        <w:kinsoku/>
        <w:wordWrap/>
        <w:overflowPunct/>
        <w:topLinePunct w:val="0"/>
        <w:autoSpaceDE/>
        <w:autoSpaceDN/>
        <w:bidi w:val="0"/>
        <w:adjustRightInd/>
        <w:snapToGrid w:val="0"/>
        <w:spacing w:line="578" w:lineRule="exact"/>
        <w:ind w:firstLine="640" w:firstLineChars="200"/>
        <w:textAlignment w:val="auto"/>
        <w:rPr>
          <w:rFonts w:hint="eastAsia" w:ascii="仿宋" w:hAnsi="仿宋" w:eastAsia="仿宋" w:cs="仿宋"/>
          <w:b w:val="0"/>
          <w:bCs/>
          <w:sz w:val="32"/>
          <w:szCs w:val="32"/>
          <w:lang w:val="en"/>
        </w:rPr>
      </w:pPr>
      <w:r>
        <w:rPr>
          <w:rFonts w:hint="eastAsia" w:ascii="仿宋" w:hAnsi="仿宋" w:eastAsia="仿宋" w:cs="仿宋"/>
          <w:b w:val="0"/>
          <w:bCs/>
          <w:sz w:val="32"/>
          <w:szCs w:val="32"/>
        </w:rPr>
        <w:t>转移支付区域（项目）绩效目标自评表</w:t>
      </w:r>
    </w:p>
    <w:sectPr>
      <w:footerReference r:id="rId3" w:type="default"/>
      <w:pgSz w:w="11906" w:h="16838"/>
      <w:pgMar w:top="2098" w:right="1474" w:bottom="1984" w:left="1587" w:header="851" w:footer="1587" w:gutter="0"/>
      <w:pgNumType w:fmt="decimal"/>
      <w:cols w:space="0" w:num="1"/>
      <w:rtlGutter w:val="0"/>
      <w:docGrid w:type="lines" w:linePitch="41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3E4565">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170214">
                          <w:pPr>
                            <w:pStyle w:val="3"/>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A170214">
                    <w:pPr>
                      <w:pStyle w:val="3"/>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trackRevisions w:val="1"/>
  <w:documentProtection w:edit="readOnly" w:enforcement="0"/>
  <w:defaultTabStop w:val="420"/>
  <w:drawingGridHorizontalSpacing w:val="150"/>
  <w:drawingGridVerticalSpacing w:val="20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F82"/>
    <w:rsid w:val="000101E1"/>
    <w:rsid w:val="000732DA"/>
    <w:rsid w:val="00075CDC"/>
    <w:rsid w:val="000B1E8F"/>
    <w:rsid w:val="000B6964"/>
    <w:rsid w:val="00103D16"/>
    <w:rsid w:val="00111638"/>
    <w:rsid w:val="00111928"/>
    <w:rsid w:val="0012041C"/>
    <w:rsid w:val="00164D84"/>
    <w:rsid w:val="00173016"/>
    <w:rsid w:val="0017509C"/>
    <w:rsid w:val="001808CA"/>
    <w:rsid w:val="001A4E46"/>
    <w:rsid w:val="001E03FE"/>
    <w:rsid w:val="002123E8"/>
    <w:rsid w:val="00250053"/>
    <w:rsid w:val="0029569C"/>
    <w:rsid w:val="002A5FA7"/>
    <w:rsid w:val="002B3EEF"/>
    <w:rsid w:val="002B54E4"/>
    <w:rsid w:val="002E5562"/>
    <w:rsid w:val="002F6705"/>
    <w:rsid w:val="00301FC0"/>
    <w:rsid w:val="00336A16"/>
    <w:rsid w:val="003663A3"/>
    <w:rsid w:val="00387DD5"/>
    <w:rsid w:val="003B0980"/>
    <w:rsid w:val="003C6374"/>
    <w:rsid w:val="003D2CB9"/>
    <w:rsid w:val="00413F12"/>
    <w:rsid w:val="00493012"/>
    <w:rsid w:val="004D2137"/>
    <w:rsid w:val="005D1514"/>
    <w:rsid w:val="005D7CC3"/>
    <w:rsid w:val="006218A1"/>
    <w:rsid w:val="00682A10"/>
    <w:rsid w:val="006A30E4"/>
    <w:rsid w:val="006A74BF"/>
    <w:rsid w:val="006C1CEE"/>
    <w:rsid w:val="006D5A86"/>
    <w:rsid w:val="00707C2E"/>
    <w:rsid w:val="00722A7D"/>
    <w:rsid w:val="00724A6B"/>
    <w:rsid w:val="0073331B"/>
    <w:rsid w:val="00733C2D"/>
    <w:rsid w:val="00756C7F"/>
    <w:rsid w:val="007D7E6E"/>
    <w:rsid w:val="00850797"/>
    <w:rsid w:val="00853FC4"/>
    <w:rsid w:val="008720F1"/>
    <w:rsid w:val="00882EFA"/>
    <w:rsid w:val="008B2F56"/>
    <w:rsid w:val="008F0996"/>
    <w:rsid w:val="00903791"/>
    <w:rsid w:val="009600BD"/>
    <w:rsid w:val="00961C83"/>
    <w:rsid w:val="009922BC"/>
    <w:rsid w:val="009E0D8C"/>
    <w:rsid w:val="00A02AF3"/>
    <w:rsid w:val="00A25077"/>
    <w:rsid w:val="00A610CC"/>
    <w:rsid w:val="00A8737E"/>
    <w:rsid w:val="00AA19AF"/>
    <w:rsid w:val="00BC6882"/>
    <w:rsid w:val="00BD3FE0"/>
    <w:rsid w:val="00BE58CF"/>
    <w:rsid w:val="00CA5578"/>
    <w:rsid w:val="00CA7DAA"/>
    <w:rsid w:val="00D04826"/>
    <w:rsid w:val="00D63908"/>
    <w:rsid w:val="00D8718A"/>
    <w:rsid w:val="00D93453"/>
    <w:rsid w:val="00DC524D"/>
    <w:rsid w:val="00E071D6"/>
    <w:rsid w:val="00ED3E0F"/>
    <w:rsid w:val="00F015E4"/>
    <w:rsid w:val="00F57F82"/>
    <w:rsid w:val="00F75224"/>
    <w:rsid w:val="00F91EAE"/>
    <w:rsid w:val="00FA086C"/>
    <w:rsid w:val="00FA2093"/>
    <w:rsid w:val="00FA357A"/>
    <w:rsid w:val="037D0BC8"/>
    <w:rsid w:val="0845082D"/>
    <w:rsid w:val="09E965F2"/>
    <w:rsid w:val="0FF7AA4F"/>
    <w:rsid w:val="139840D3"/>
    <w:rsid w:val="143E091F"/>
    <w:rsid w:val="14865FC8"/>
    <w:rsid w:val="150C2DB0"/>
    <w:rsid w:val="16B5752E"/>
    <w:rsid w:val="18FC8453"/>
    <w:rsid w:val="1A7D29EA"/>
    <w:rsid w:val="1D994BCF"/>
    <w:rsid w:val="1E5FB546"/>
    <w:rsid w:val="1E761F05"/>
    <w:rsid w:val="1F7BE1E6"/>
    <w:rsid w:val="1FC7205C"/>
    <w:rsid w:val="228B3D05"/>
    <w:rsid w:val="284E74F8"/>
    <w:rsid w:val="289F591A"/>
    <w:rsid w:val="2ADB48E8"/>
    <w:rsid w:val="2EEF96B5"/>
    <w:rsid w:val="33FF3D59"/>
    <w:rsid w:val="36687282"/>
    <w:rsid w:val="367793B2"/>
    <w:rsid w:val="3794FC37"/>
    <w:rsid w:val="38EF7AD8"/>
    <w:rsid w:val="3E1672E6"/>
    <w:rsid w:val="3E9B2288"/>
    <w:rsid w:val="3EB9C2BB"/>
    <w:rsid w:val="3F7DAA47"/>
    <w:rsid w:val="3FEF6A07"/>
    <w:rsid w:val="415F08D8"/>
    <w:rsid w:val="44E2230F"/>
    <w:rsid w:val="48B51347"/>
    <w:rsid w:val="491B45FA"/>
    <w:rsid w:val="4A55216A"/>
    <w:rsid w:val="4FE0696A"/>
    <w:rsid w:val="546F8569"/>
    <w:rsid w:val="55673508"/>
    <w:rsid w:val="59595A6F"/>
    <w:rsid w:val="597350B8"/>
    <w:rsid w:val="599330CA"/>
    <w:rsid w:val="5A7FCB1F"/>
    <w:rsid w:val="5FEAF7C9"/>
    <w:rsid w:val="5FEFA412"/>
    <w:rsid w:val="60D5009F"/>
    <w:rsid w:val="64AC2E11"/>
    <w:rsid w:val="660721C9"/>
    <w:rsid w:val="661E6C75"/>
    <w:rsid w:val="66FB7723"/>
    <w:rsid w:val="67F75FF5"/>
    <w:rsid w:val="681D4831"/>
    <w:rsid w:val="692E4B19"/>
    <w:rsid w:val="69513EF7"/>
    <w:rsid w:val="6BF3256F"/>
    <w:rsid w:val="6CE7018A"/>
    <w:rsid w:val="6DEDB046"/>
    <w:rsid w:val="6E3E3F2D"/>
    <w:rsid w:val="715B2F02"/>
    <w:rsid w:val="76A548F2"/>
    <w:rsid w:val="7765772E"/>
    <w:rsid w:val="776F5E62"/>
    <w:rsid w:val="77867685"/>
    <w:rsid w:val="77EE7FE7"/>
    <w:rsid w:val="781F36B6"/>
    <w:rsid w:val="790627AD"/>
    <w:rsid w:val="79DFF8C4"/>
    <w:rsid w:val="7ADC59FA"/>
    <w:rsid w:val="7AFF2FC3"/>
    <w:rsid w:val="7B6F41DF"/>
    <w:rsid w:val="7BF6B4C5"/>
    <w:rsid w:val="7D8D660E"/>
    <w:rsid w:val="7DDD794F"/>
    <w:rsid w:val="7DFA6624"/>
    <w:rsid w:val="7DFD8AD7"/>
    <w:rsid w:val="7DFEFB95"/>
    <w:rsid w:val="7ECD6B9A"/>
    <w:rsid w:val="7F6DEC76"/>
    <w:rsid w:val="7F7FE75F"/>
    <w:rsid w:val="7FBA576D"/>
    <w:rsid w:val="7FDE47D5"/>
    <w:rsid w:val="7FF69C34"/>
    <w:rsid w:val="7FFD003D"/>
    <w:rsid w:val="94BFC172"/>
    <w:rsid w:val="976A6BEE"/>
    <w:rsid w:val="9BFA614C"/>
    <w:rsid w:val="AEA70EA2"/>
    <w:rsid w:val="BAFE1E17"/>
    <w:rsid w:val="BBDF5B5A"/>
    <w:rsid w:val="BBE428C2"/>
    <w:rsid w:val="BD6F8907"/>
    <w:rsid w:val="BFBF52D7"/>
    <w:rsid w:val="C9FA7C05"/>
    <w:rsid w:val="DF6E82F1"/>
    <w:rsid w:val="DFCEE0CE"/>
    <w:rsid w:val="DFFF7077"/>
    <w:rsid w:val="ED81956A"/>
    <w:rsid w:val="EEBF76D9"/>
    <w:rsid w:val="F36EF6AC"/>
    <w:rsid w:val="F5BEA0BC"/>
    <w:rsid w:val="F6FDCC0E"/>
    <w:rsid w:val="F75204E9"/>
    <w:rsid w:val="F767D450"/>
    <w:rsid w:val="F76FB1DB"/>
    <w:rsid w:val="F7764ED3"/>
    <w:rsid w:val="F7FBEBBF"/>
    <w:rsid w:val="F9F3FBF0"/>
    <w:rsid w:val="FB369750"/>
    <w:rsid w:val="FB9B969D"/>
    <w:rsid w:val="FB9F8FA2"/>
    <w:rsid w:val="FDB5389F"/>
    <w:rsid w:val="FF9D4583"/>
    <w:rsid w:val="FFAFB80B"/>
    <w:rsid w:val="FFF9F86D"/>
    <w:rsid w:val="FFFBF52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7"/>
    <w:qFormat/>
    <w:uiPriority w:val="99"/>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3"/>
    <w:qFormat/>
    <w:uiPriority w:val="99"/>
    <w:rPr>
      <w:rFonts w:eastAsia="仿宋_GB2312"/>
      <w:kern w:val="2"/>
      <w:sz w:val="18"/>
      <w:szCs w:val="18"/>
    </w:rPr>
  </w:style>
  <w:style w:type="character" w:customStyle="1" w:styleId="8">
    <w:name w:val="页眉 Char"/>
    <w:basedOn w:val="6"/>
    <w:link w:val="4"/>
    <w:qFormat/>
    <w:uiPriority w:val="0"/>
    <w:rPr>
      <w:rFonts w:eastAsia="仿宋_GB2312"/>
      <w:kern w:val="2"/>
      <w:sz w:val="18"/>
      <w:szCs w:val="18"/>
    </w:rPr>
  </w:style>
  <w:style w:type="character" w:customStyle="1" w:styleId="9">
    <w:name w:val="批注框文本 Char"/>
    <w:basedOn w:val="6"/>
    <w:link w:val="2"/>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1147</Words>
  <Characters>1219</Characters>
  <Lines>3</Lines>
  <Paragraphs>1</Paragraphs>
  <TotalTime>15</TotalTime>
  <ScaleCrop>false</ScaleCrop>
  <LinksUpToDate>false</LinksUpToDate>
  <CharactersWithSpaces>1240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2019-02-20T06:26:00Z</dcterms:created>
  <dc:creator>lhn</dc:creator>
  <cp:lastModifiedBy>陈大宝</cp:lastModifiedBy>
  <cp:lastPrinted>2023-02-27T17:51:00Z</cp:lastPrinted>
  <dcterms:modified xsi:type="dcterms:W3CDTF">2025-04-22T01:19:12Z</dcterms:modified>
  <dc:title>财政支出绩效评价报告</dc:title>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eyJoZGlkIjoiODYwODkwMGFiZjk0ZTE1ZTZiZTI0ZTdjZGRmZGRjYzAiLCJ1c2VySWQiOiIyNDM2NjQ4MzAifQ==</vt:lpwstr>
  </property>
  <property fmtid="{D5CDD505-2E9C-101B-9397-08002B2CF9AE}" pid="4" name="ICV">
    <vt:lpwstr>B76D0D21D82B401BB403F79B2EC0284C_13</vt:lpwstr>
  </property>
</Properties>
</file>